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61445" w:rsidRPr="000C153F" w:rsidRDefault="00361445" w:rsidP="00C6477B">
      <w:pPr>
        <w:jc w:val="right"/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 xml:space="preserve">Bruxelles, le </w:t>
      </w:r>
      <w:r>
        <w:rPr>
          <w:rFonts w:ascii="Calibri" w:hAnsi="Calibri" w:cs="Arial"/>
          <w:sz w:val="22"/>
        </w:rPr>
        <w:t>22 février</w:t>
      </w:r>
      <w:r w:rsidRPr="000C153F">
        <w:rPr>
          <w:rFonts w:ascii="Calibri" w:hAnsi="Calibri" w:cs="Arial"/>
          <w:sz w:val="22"/>
        </w:rPr>
        <w:t xml:space="preserve"> 2016</w:t>
      </w:r>
    </w:p>
    <w:p w:rsidR="00361445" w:rsidRPr="000C153F" w:rsidRDefault="00361445" w:rsidP="00C6477B">
      <w:pPr>
        <w:rPr>
          <w:rFonts w:ascii="Calibri" w:hAnsi="Calibri" w:cs="Arial"/>
          <w:sz w:val="22"/>
        </w:rPr>
      </w:pPr>
    </w:p>
    <w:p w:rsidR="00361445" w:rsidRPr="000C153F" w:rsidRDefault="00361445" w:rsidP="00C6477B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 xml:space="preserve">A l’attention des membres du Collège des Bourgmestre et Echevins </w:t>
      </w:r>
    </w:p>
    <w:p w:rsidR="00361445" w:rsidRPr="000C153F" w:rsidRDefault="00361445" w:rsidP="00C6477B">
      <w:pPr>
        <w:rPr>
          <w:rFonts w:ascii="Calibri" w:hAnsi="Calibri" w:cs="Arial"/>
          <w:sz w:val="22"/>
        </w:rPr>
      </w:pPr>
    </w:p>
    <w:p w:rsidR="00361445" w:rsidRPr="000C153F" w:rsidRDefault="00361445" w:rsidP="00C6477B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Hôtel Communal</w:t>
      </w:r>
    </w:p>
    <w:p w:rsidR="00361445" w:rsidRPr="00BD70A9" w:rsidRDefault="00361445" w:rsidP="00C6477B">
      <w:pPr>
        <w:rPr>
          <w:rFonts w:ascii="Calibri" w:hAnsi="Calibri" w:cs="Arial"/>
          <w:sz w:val="22"/>
        </w:rPr>
      </w:pPr>
      <w:r w:rsidRPr="00BD70A9">
        <w:rPr>
          <w:rFonts w:ascii="Calibri" w:hAnsi="Calibri" w:cs="Arial"/>
          <w:sz w:val="22"/>
        </w:rPr>
        <w:t>Avenue Paul Hymans, 2</w:t>
      </w:r>
    </w:p>
    <w:p w:rsidR="00361445" w:rsidRPr="00BD70A9" w:rsidRDefault="00361445" w:rsidP="00C6477B">
      <w:pPr>
        <w:rPr>
          <w:rFonts w:ascii="Calibri" w:hAnsi="Calibri" w:cs="Arial"/>
          <w:sz w:val="22"/>
        </w:rPr>
      </w:pPr>
      <w:r w:rsidRPr="00BD70A9">
        <w:rPr>
          <w:rFonts w:ascii="Calibri" w:hAnsi="Calibri" w:cs="Arial"/>
          <w:sz w:val="22"/>
        </w:rPr>
        <w:t>1200 Woluwe-St-Lambert</w:t>
      </w:r>
    </w:p>
    <w:p w:rsidR="00361445" w:rsidRDefault="00361445" w:rsidP="00312420">
      <w:pPr>
        <w:rPr>
          <w:rFonts w:ascii="Calibri" w:hAnsi="Calibri" w:cs="Arial"/>
          <w:sz w:val="22"/>
        </w:rPr>
      </w:pPr>
    </w:p>
    <w:p w:rsidR="00361445" w:rsidRPr="00146AB9" w:rsidRDefault="00361445" w:rsidP="00312420">
      <w:pPr>
        <w:rPr>
          <w:rFonts w:ascii="Calibri" w:hAnsi="Calibri" w:cs="Arial"/>
          <w:b/>
          <w:sz w:val="22"/>
        </w:rPr>
      </w:pPr>
      <w:r w:rsidRPr="00146AB9">
        <w:rPr>
          <w:rFonts w:ascii="Calibri" w:hAnsi="Calibri" w:cs="Arial"/>
          <w:b/>
          <w:sz w:val="22"/>
        </w:rPr>
        <w:t>Concerne : Projet PROVABEL, demande d'un permis  mixte d'urbanisme et d'environnement pour construire un immeuble comprenant 48 logements et 60 places de parkings au boulevard de la Woluwe, 100-102.</w:t>
      </w:r>
    </w:p>
    <w:p w:rsidR="00361445" w:rsidRPr="00BD70A9" w:rsidRDefault="00361445" w:rsidP="00312420">
      <w:pPr>
        <w:rPr>
          <w:rFonts w:ascii="Calibri" w:hAnsi="Calibri" w:cs="Arial"/>
          <w:sz w:val="22"/>
        </w:rPr>
      </w:pP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Monsieur le Bourgmestre,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Mesdames et Messieurs les Echevins,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 xml:space="preserve">Habitants de Woluwe St-Lambert, nous souhaitons exprimer notre avis négatif au </w:t>
      </w:r>
      <w:r>
        <w:rPr>
          <w:rFonts w:ascii="Calibri" w:hAnsi="Calibri" w:cs="Arial"/>
          <w:sz w:val="22"/>
        </w:rPr>
        <w:t>sujet du projet de construction</w:t>
      </w:r>
      <w:r w:rsidRPr="000C153F">
        <w:rPr>
          <w:rFonts w:ascii="Calibri" w:hAnsi="Calibri" w:cs="Arial"/>
          <w:sz w:val="22"/>
        </w:rPr>
        <w:t xml:space="preserve"> sur le terrain du site </w:t>
      </w:r>
      <w:r>
        <w:rPr>
          <w:rFonts w:ascii="Calibri" w:hAnsi="Calibri" w:cs="Arial"/>
          <w:sz w:val="22"/>
        </w:rPr>
        <w:t xml:space="preserve"> du bosquet marécageux Hof-ten-Berg</w:t>
      </w:r>
      <w:r w:rsidRPr="000C153F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</w:t>
      </w:r>
      <w:r w:rsidRPr="000C153F">
        <w:rPr>
          <w:rFonts w:ascii="Calibri" w:hAnsi="Calibri" w:cs="Arial"/>
          <w:sz w:val="22"/>
        </w:rPr>
        <w:t xml:space="preserve"> à l’enquête publique jusqu’au </w:t>
      </w:r>
      <w:r>
        <w:rPr>
          <w:rFonts w:ascii="Calibri" w:hAnsi="Calibri" w:cs="Arial"/>
          <w:sz w:val="22"/>
        </w:rPr>
        <w:t>25 février 2016.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</w:p>
    <w:p w:rsidR="00361445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Nous nous opposons à ce projet d’implantation d</w:t>
      </w:r>
      <w:r>
        <w:rPr>
          <w:rFonts w:ascii="Calibri" w:hAnsi="Calibri" w:cs="Arial"/>
          <w:sz w:val="22"/>
        </w:rPr>
        <w:t>'un immeuble de 48 logements et 60 places de parking sur la partie supérieure de ce site dont toute la partie inférieure vient d'être classée en date du 10 décembre 2015.</w:t>
      </w:r>
    </w:p>
    <w:p w:rsidR="00361445" w:rsidRDefault="00361445" w:rsidP="00312420">
      <w:pPr>
        <w:rPr>
          <w:rFonts w:ascii="Calibri" w:hAnsi="Calibri" w:cs="Arial"/>
          <w:sz w:val="22"/>
        </w:rPr>
      </w:pPr>
    </w:p>
    <w:p w:rsidR="00361445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 xml:space="preserve">En effet, ce site  en intérieur d’îlot constitue un des </w:t>
      </w:r>
      <w:r>
        <w:rPr>
          <w:rFonts w:ascii="Calibri" w:hAnsi="Calibri" w:cs="Arial"/>
          <w:sz w:val="22"/>
        </w:rPr>
        <w:t>maillons importants du maillage bleu et vert de ce versant de la vallée de la Woluwe et se distingue par sa grande qualité et</w:t>
      </w:r>
      <w:r w:rsidRPr="000C153F">
        <w:rPr>
          <w:rFonts w:ascii="Calibri" w:hAnsi="Calibri" w:cs="Arial"/>
          <w:sz w:val="22"/>
        </w:rPr>
        <w:t xml:space="preserve"> diversité biologique</w:t>
      </w:r>
      <w:r>
        <w:rPr>
          <w:rFonts w:ascii="Calibri" w:hAnsi="Calibri" w:cs="Arial"/>
          <w:sz w:val="22"/>
        </w:rPr>
        <w:t xml:space="preserve"> qui a contribué au classement d'une partie de ce site</w:t>
      </w:r>
      <w:r w:rsidRPr="000C153F">
        <w:rPr>
          <w:rFonts w:ascii="Calibri" w:hAnsi="Calibri" w:cs="Arial"/>
          <w:sz w:val="22"/>
        </w:rPr>
        <w:t xml:space="preserve">. </w:t>
      </w:r>
      <w:r>
        <w:rPr>
          <w:rFonts w:ascii="Calibri" w:hAnsi="Calibri" w:cs="Arial"/>
          <w:sz w:val="22"/>
        </w:rPr>
        <w:t>Ce site est de plus un véritable poumon vert pour les habitants du quartier. Afin de préserver cette zone classée, le Gouvernement bruxellois a prévu une zone de protection du site, élément indispensable à la préservation de ses qualités environnementales.</w:t>
      </w:r>
    </w:p>
    <w:p w:rsidR="00361445" w:rsidRDefault="00361445" w:rsidP="00312420">
      <w:pPr>
        <w:rPr>
          <w:rFonts w:ascii="Calibri" w:hAnsi="Calibri" w:cs="Arial"/>
          <w:sz w:val="22"/>
        </w:rPr>
      </w:pPr>
    </w:p>
    <w:p w:rsidR="00361445" w:rsidRDefault="00361445" w:rsidP="00312420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Or, le projet d'un immeuble d’un seul tenant d'une longueur de près de 90 mètres occupe 100% de cette zone de protection. Si ce projet reçoit un permis d'urbanisme et d'environnement, l'avenir du site sera irrémédiablement compromis.</w:t>
      </w:r>
    </w:p>
    <w:p w:rsidR="00361445" w:rsidRDefault="00361445" w:rsidP="00312420">
      <w:pPr>
        <w:rPr>
          <w:rFonts w:ascii="Calibri" w:hAnsi="Calibri" w:cs="Arial"/>
          <w:sz w:val="22"/>
        </w:rPr>
      </w:pPr>
    </w:p>
    <w:p w:rsidR="00361445" w:rsidRDefault="00361445" w:rsidP="00312420">
      <w:pPr>
        <w:numPr>
          <w:ilvl w:val="0"/>
          <w:numId w:val="1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la zone marécageuse sera domestiquée  et aboutira à terme à la disparition de l'authenticité écologique de l'habitat humide ;</w:t>
      </w:r>
    </w:p>
    <w:p w:rsidR="00361445" w:rsidRDefault="00361445" w:rsidP="00312420">
      <w:pPr>
        <w:numPr>
          <w:ilvl w:val="0"/>
          <w:numId w:val="1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le caractère sauvage de la zone classée sera perdu car cette zone sera encerclée et domestiquée ;</w:t>
      </w:r>
    </w:p>
    <w:p w:rsidR="00361445" w:rsidRDefault="00361445" w:rsidP="00312420">
      <w:pPr>
        <w:numPr>
          <w:ilvl w:val="0"/>
          <w:numId w:val="1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le périmètre de la zone classée sera complètement minéralisé;</w:t>
      </w:r>
    </w:p>
    <w:p w:rsidR="00361445" w:rsidRDefault="00361445" w:rsidP="00312420">
      <w:pPr>
        <w:numPr>
          <w:ilvl w:val="0"/>
          <w:numId w:val="1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les différentes vues paysagères et notamment vers et depuis le site de la ferme Hof-ten-Berg classée également, seront définitivement fermées et perdues.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Toutes ces raisons ont conduit au refus final et définitif d’un permis de construire après recours au Conseil d’Etat pour un projet de  bien moindre envergure en 2007 :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</w:p>
    <w:p w:rsidR="00361445" w:rsidRPr="00C6477B" w:rsidRDefault="00361445">
      <w:pPr>
        <w:numPr>
          <w:ilvl w:val="0"/>
          <w:numId w:val="2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Le 30 septembre 2004, la S.A. LEYSTERDAEL avait sollicité auprès du collège des Bourgmestre et Echevins de la commune de Woluwe-Saint-Lambert un permis d'urbanisme et un permis d'environnement pour la construction de deux immeubles à appartements comprenant 34 logements, 54 parkings en sous-sol et 17 parkings extérieurs. Ce projet avait alors reçu un avis défavorable.</w:t>
      </w:r>
    </w:p>
    <w:p w:rsidR="00361445" w:rsidRPr="00C6477B" w:rsidRDefault="00361445">
      <w:pPr>
        <w:numPr>
          <w:ilvl w:val="0"/>
          <w:numId w:val="2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Le 23 juin 2005, la S.A. LEYSTERDAEL avait introduit un recours auprès du collège d'urbanisme et déposé en août 2005 à l'appui de ce recours, un rapport d'incidences complémentaire ainsi qu'une expertise technique relative à la «valeur écologique du site «Hop ten Berg».</w:t>
      </w:r>
    </w:p>
    <w:p w:rsidR="00361445" w:rsidRPr="00C6477B" w:rsidRDefault="00361445" w:rsidP="00C6477B">
      <w:pPr>
        <w:numPr>
          <w:ilvl w:val="0"/>
          <w:numId w:val="2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 xml:space="preserve">Le permis d’urbanisme avait été accordé le 31 août 2006, sur recours, par le Gouvernement de la Région de Bruxelles-Capitale  pour la construction de deux immeubles. </w:t>
      </w:r>
    </w:p>
    <w:p w:rsidR="00361445" w:rsidRPr="00C6477B" w:rsidRDefault="00361445" w:rsidP="00C6477B">
      <w:pPr>
        <w:numPr>
          <w:ilvl w:val="0"/>
          <w:numId w:val="2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Ce permis avait finalement été annulé le 8 novembre 2007, par une décision judiciaire du Conseil d'État.</w:t>
      </w:r>
    </w:p>
    <w:p w:rsidR="00361445" w:rsidRPr="00C20E7A" w:rsidRDefault="00361445">
      <w:pPr>
        <w:rPr>
          <w:rFonts w:ascii="Times" w:hAnsi="Times"/>
          <w:sz w:val="20"/>
          <w:szCs w:val="20"/>
        </w:rPr>
      </w:pPr>
    </w:p>
    <w:p w:rsidR="00361445" w:rsidRPr="00C6477B" w:rsidRDefault="00361445" w:rsidP="00312420">
      <w:p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 xml:space="preserve">En conséquence, nous demandons à la commission de concertation de confirmer son avis antérieur et de rejeter ce nouveau projet qui porte atteinte à l'environnement et qui ne s'intègre pas aux deux zones classées contigües. </w:t>
      </w:r>
    </w:p>
    <w:p w:rsidR="00361445" w:rsidRPr="00C6477B" w:rsidRDefault="00361445" w:rsidP="00312420">
      <w:pPr>
        <w:rPr>
          <w:rFonts w:ascii="Calibri" w:hAnsi="Calibri" w:cs="Arial"/>
          <w:sz w:val="22"/>
        </w:rPr>
      </w:pPr>
    </w:p>
    <w:p w:rsidR="00361445" w:rsidRPr="00C6477B" w:rsidRDefault="00361445" w:rsidP="00312420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Ce projet de taille démesurée pour le site  est encore plus invasif que le précédent ;</w:t>
      </w:r>
    </w:p>
    <w:p w:rsidR="00361445" w:rsidRPr="00C6477B" w:rsidRDefault="00361445" w:rsidP="00312420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La zone de la mare a fait entretemps l’objet d’un classement en bonne et due forme ;</w:t>
      </w:r>
    </w:p>
    <w:p w:rsidR="00361445" w:rsidRPr="00C6477B" w:rsidRDefault="00361445" w:rsidP="00312420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>Rien dans le projet n’apporte des garanties quant à la sauvegarde de la mare et de la richesse biologique environante ;</w:t>
      </w:r>
    </w:p>
    <w:p w:rsidR="00361445" w:rsidRPr="00C6477B" w:rsidRDefault="00361445" w:rsidP="00312420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C6477B">
        <w:rPr>
          <w:rFonts w:ascii="Calibri" w:hAnsi="Calibri" w:cs="Arial"/>
          <w:sz w:val="22"/>
        </w:rPr>
        <w:t xml:space="preserve">Nous ne comprenons pas </w:t>
      </w:r>
      <w:r w:rsidRPr="00F97934">
        <w:rPr>
          <w:rFonts w:ascii="Arial" w:hAnsi="Arial" w:cs="Arial"/>
          <w:sz w:val="20"/>
          <w:szCs w:val="20"/>
          <w:lang w:val="fr-CA" w:eastAsia="nl-NL"/>
        </w:rPr>
        <w:t>l’avis « conforme favorable sous réserve » émis par la CRMS le 06/01/2016 qui ignore ses propres réserves, pourtant sévères!</w:t>
      </w:r>
    </w:p>
    <w:p w:rsidR="00361445" w:rsidRPr="00C6477B" w:rsidRDefault="00361445" w:rsidP="00C6477B">
      <w:pPr>
        <w:numPr>
          <w:ilvl w:val="1"/>
          <w:numId w:val="3"/>
        </w:numPr>
        <w:rPr>
          <w:rFonts w:ascii="Calibri" w:hAnsi="Calibri" w:cs="Arial"/>
          <w:i/>
          <w:sz w:val="22"/>
        </w:rPr>
      </w:pPr>
      <w:r w:rsidRPr="00F97934">
        <w:rPr>
          <w:rFonts w:ascii="Arial" w:hAnsi="Arial" w:cs="Arial"/>
          <w:sz w:val="20"/>
          <w:szCs w:val="20"/>
          <w:shd w:val="clear" w:color="auto" w:fill="FFFFFF"/>
          <w:lang w:eastAsia="nl-NL"/>
        </w:rPr>
        <w:t>« </w:t>
      </w:r>
      <w:r w:rsidRPr="00C6477B">
        <w:rPr>
          <w:rFonts w:ascii="Arial" w:hAnsi="Arial" w:cs="Arial"/>
          <w:i/>
          <w:sz w:val="20"/>
          <w:szCs w:val="20"/>
          <w:shd w:val="clear" w:color="auto" w:fill="FFFFFF"/>
          <w:lang w:eastAsia="nl-NL"/>
        </w:rPr>
        <w:t>L’alimentation en eau de la mare par les eaux de ruissellement ne semble pas très réaliste dans le projet.»</w:t>
      </w:r>
    </w:p>
    <w:p w:rsidR="00361445" w:rsidRPr="00C6477B" w:rsidRDefault="00361445" w:rsidP="00C6477B">
      <w:pPr>
        <w:numPr>
          <w:ilvl w:val="1"/>
          <w:numId w:val="3"/>
        </w:numPr>
        <w:rPr>
          <w:rFonts w:ascii="Calibri" w:hAnsi="Calibri" w:cs="Arial"/>
          <w:i/>
          <w:sz w:val="22"/>
        </w:rPr>
      </w:pPr>
      <w:r w:rsidRPr="00C6477B">
        <w:rPr>
          <w:rFonts w:ascii="Arial" w:hAnsi="Arial" w:cs="Arial"/>
          <w:i/>
          <w:sz w:val="20"/>
          <w:szCs w:val="20"/>
          <w:lang w:val="fr-CA" w:eastAsia="nl-NL"/>
        </w:rPr>
        <w:t>«Suite à la construction de l’immeuble, les eaux de ruissellement résultantes risquent réellement d’être insuffisantes pour l’alimentation de la mare, surtout en période estivale. »</w:t>
      </w:r>
    </w:p>
    <w:p w:rsidR="00361445" w:rsidRPr="00C6477B" w:rsidRDefault="00361445" w:rsidP="00C6477B">
      <w:pPr>
        <w:numPr>
          <w:ilvl w:val="1"/>
          <w:numId w:val="3"/>
        </w:numPr>
        <w:rPr>
          <w:rFonts w:ascii="Calibri" w:hAnsi="Calibri" w:cs="Arial"/>
          <w:i/>
          <w:sz w:val="22"/>
        </w:rPr>
      </w:pPr>
      <w:r w:rsidRPr="00C6477B">
        <w:rPr>
          <w:rFonts w:ascii="Arial" w:hAnsi="Arial" w:cs="Arial"/>
          <w:i/>
          <w:sz w:val="20"/>
          <w:szCs w:val="20"/>
          <w:shd w:val="clear" w:color="auto" w:fill="FFFFFF"/>
          <w:lang w:eastAsia="nl-NL"/>
        </w:rPr>
        <w:t>«Si on souhaitait préserver ces percées visuelles et cette continuité, la configuration du bâtiment et son emprise au sol devraient être profondément revues à la baisse, notamment du côté est (par ex. découpage de l’immeuble en plusieurs immeubles dissociés, permettant des vues profondes).»</w:t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ab/>
      </w:r>
    </w:p>
    <w:p w:rsidR="00361445" w:rsidRPr="000C153F" w:rsidRDefault="00361445" w:rsidP="00312420">
      <w:pPr>
        <w:rPr>
          <w:rFonts w:ascii="Calibri" w:hAnsi="Calibri" w:cs="Arial"/>
          <w:sz w:val="22"/>
        </w:rPr>
      </w:pPr>
      <w:r w:rsidRPr="000C153F">
        <w:rPr>
          <w:rFonts w:ascii="Calibri" w:hAnsi="Calibri" w:cs="Arial"/>
          <w:sz w:val="22"/>
        </w:rPr>
        <w:t>En espérant que vous réserverez un avis positif à notre requête, veuillez agréer, Monsieur le Bourgmestre, Mesdames et Messieurs les Echevins, l’expression de notre considération distinguée.</w:t>
      </w:r>
    </w:p>
    <w:p w:rsidR="00361445" w:rsidRDefault="00361445" w:rsidP="00312420">
      <w:pPr>
        <w:jc w:val="both"/>
        <w:rPr>
          <w:rFonts w:ascii="Calibri" w:hAnsi="Calibri" w:cs="Arial"/>
          <w:sz w:val="22"/>
        </w:rPr>
      </w:pPr>
    </w:p>
    <w:p w:rsidR="00361445" w:rsidRDefault="00361445" w:rsidP="00C6477B">
      <w:pPr>
        <w:rPr>
          <w:rFonts w:ascii="Calibri" w:hAnsi="Calibri" w:cs="Arial"/>
          <w:sz w:val="22"/>
        </w:rPr>
      </w:pPr>
    </w:p>
    <w:tbl>
      <w:tblPr>
        <w:tblStyle w:val="TableGrid"/>
        <w:tblW w:w="0" w:type="auto"/>
        <w:tblLook w:val="00BF"/>
      </w:tblPr>
      <w:tblGrid>
        <w:gridCol w:w="3278"/>
        <w:gridCol w:w="4390"/>
        <w:gridCol w:w="2167"/>
      </w:tblGrid>
      <w:tr w:rsidR="00361445" w:rsidRPr="000C153F"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  <w:p w:rsidR="00361445" w:rsidRPr="00C6477B" w:rsidRDefault="00361445" w:rsidP="00C6477B">
            <w:pPr>
              <w:jc w:val="center"/>
              <w:rPr>
                <w:rFonts w:ascii="Calibri" w:eastAsia="Calibri" w:hAnsi="Calibri" w:cs="Arial"/>
                <w:b/>
                <w:sz w:val="22"/>
              </w:rPr>
            </w:pPr>
            <w:r w:rsidRPr="00C6477B">
              <w:rPr>
                <w:rFonts w:ascii="Calibri" w:eastAsia="Calibri" w:hAnsi="Calibri" w:cs="Arial"/>
                <w:b/>
                <w:sz w:val="22"/>
              </w:rPr>
              <w:t>Nom et Pr</w:t>
            </w:r>
            <w:r w:rsidRPr="00C6477B">
              <w:rPr>
                <w:rFonts w:ascii="Calibri" w:hAnsi="Calibri" w:cs="Arial"/>
                <w:b/>
                <w:sz w:val="22"/>
              </w:rPr>
              <w:t>énom (majuscules)</w:t>
            </w: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  <w:p w:rsidR="00361445" w:rsidRPr="00C6477B" w:rsidRDefault="00361445" w:rsidP="00C6477B">
            <w:pPr>
              <w:jc w:val="center"/>
              <w:rPr>
                <w:rFonts w:ascii="Calibri" w:eastAsia="Calibri" w:hAnsi="Calibri" w:cs="Arial"/>
                <w:b/>
                <w:sz w:val="22"/>
              </w:rPr>
            </w:pPr>
            <w:r w:rsidRPr="00C6477B">
              <w:rPr>
                <w:rFonts w:ascii="Calibri" w:hAnsi="Calibri" w:cs="Arial"/>
                <w:b/>
                <w:sz w:val="22"/>
              </w:rPr>
              <w:t>Adresse complète</w:t>
            </w:r>
          </w:p>
        </w:tc>
        <w:tc>
          <w:tcPr>
            <w:tcW w:w="2167" w:type="dxa"/>
          </w:tcPr>
          <w:p w:rsidR="00361445" w:rsidRPr="000C153F" w:rsidRDefault="00361445" w:rsidP="00C6477B">
            <w:pPr>
              <w:jc w:val="center"/>
              <w:rPr>
                <w:rFonts w:ascii="Calibri" w:eastAsia="Calibri" w:hAnsi="Calibri" w:cs="Arial"/>
                <w:sz w:val="22"/>
              </w:rPr>
            </w:pPr>
            <w:r w:rsidRPr="000C153F">
              <w:rPr>
                <w:rFonts w:ascii="Calibri" w:hAnsi="Calibri" w:cs="Arial"/>
                <w:sz w:val="22"/>
              </w:rPr>
              <w:t>Souhaite être convoqué à la Commission de concertation  du 11/3</w:t>
            </w:r>
          </w:p>
          <w:p w:rsidR="00361445" w:rsidRPr="00C6477B" w:rsidRDefault="00361445" w:rsidP="00C6477B">
            <w:pPr>
              <w:jc w:val="center"/>
              <w:rPr>
                <w:rFonts w:ascii="Calibri" w:eastAsia="Calibri" w:hAnsi="Calibri" w:cs="Arial"/>
                <w:b/>
                <w:sz w:val="22"/>
              </w:rPr>
            </w:pPr>
            <w:r w:rsidRPr="00C6477B">
              <w:rPr>
                <w:rFonts w:ascii="Calibri" w:hAnsi="Calibri" w:cs="Arial"/>
                <w:b/>
                <w:sz w:val="22"/>
              </w:rPr>
              <w:t>(oui – non)</w:t>
            </w: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  <w:tr w:rsidR="00361445" w:rsidRPr="000C153F">
        <w:trPr>
          <w:trHeight w:val="576"/>
        </w:trPr>
        <w:tc>
          <w:tcPr>
            <w:tcW w:w="3278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4390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167" w:type="dxa"/>
          </w:tcPr>
          <w:p w:rsidR="00361445" w:rsidRPr="000C153F" w:rsidRDefault="00361445" w:rsidP="00C6477B">
            <w:pPr>
              <w:rPr>
                <w:rFonts w:ascii="Calibri" w:eastAsia="Calibri" w:hAnsi="Calibri" w:cs="Arial"/>
                <w:sz w:val="22"/>
              </w:rPr>
            </w:pPr>
          </w:p>
        </w:tc>
      </w:tr>
    </w:tbl>
    <w:p w:rsidR="00361445" w:rsidRPr="000C153F" w:rsidRDefault="00361445" w:rsidP="00C6477B">
      <w:pPr>
        <w:rPr>
          <w:rFonts w:ascii="Calibri" w:hAnsi="Calibri" w:cs="Arial"/>
          <w:sz w:val="22"/>
        </w:rPr>
      </w:pPr>
    </w:p>
    <w:sectPr w:rsidR="00361445" w:rsidRPr="000C153F" w:rsidSect="00312420">
      <w:pgSz w:w="11906" w:h="16838"/>
      <w:pgMar w:top="1077" w:right="1134" w:bottom="1418" w:left="107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756934"/>
    <w:multiLevelType w:val="hybridMultilevel"/>
    <w:tmpl w:val="A1444B3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E5CBC"/>
    <w:multiLevelType w:val="hybridMultilevel"/>
    <w:tmpl w:val="628AB4DE"/>
    <w:lvl w:ilvl="0" w:tplc="E0CA622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w w:val="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52877"/>
    <w:multiLevelType w:val="hybridMultilevel"/>
    <w:tmpl w:val="389ACF4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17530"/>
    <w:multiLevelType w:val="hybridMultilevel"/>
    <w:tmpl w:val="0696002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0C153F"/>
    <w:rsid w:val="000C153F"/>
    <w:rsid w:val="000F0F04"/>
    <w:rsid w:val="00146AB9"/>
    <w:rsid w:val="002206F9"/>
    <w:rsid w:val="00312420"/>
    <w:rsid w:val="00335BC0"/>
    <w:rsid w:val="00361445"/>
    <w:rsid w:val="004A07FC"/>
    <w:rsid w:val="004C6BB5"/>
    <w:rsid w:val="006F13FF"/>
    <w:rsid w:val="00802C5D"/>
    <w:rsid w:val="00932B7D"/>
    <w:rsid w:val="00B62CC3"/>
    <w:rsid w:val="00B700BE"/>
    <w:rsid w:val="00BD70A9"/>
    <w:rsid w:val="00C20E7A"/>
    <w:rsid w:val="00C6477B"/>
    <w:rsid w:val="00D222F4"/>
    <w:rsid w:val="00D94D3B"/>
    <w:rsid w:val="00F9793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3F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val="fr-BE" w:eastAsia="hi-IN"/>
    </w:rPr>
  </w:style>
  <w:style w:type="paragraph" w:styleId="Heading1">
    <w:name w:val="heading 1"/>
    <w:basedOn w:val="Normal"/>
    <w:link w:val="Heading1Char"/>
    <w:uiPriority w:val="99"/>
    <w:qFormat/>
    <w:rsid w:val="00C6477B"/>
    <w:pPr>
      <w:widowControl/>
      <w:suppressAutoHyphens w:val="0"/>
      <w:spacing w:before="100" w:beforeAutospacing="1" w:after="100" w:afterAutospacing="1"/>
      <w:outlineLvl w:val="0"/>
    </w:pPr>
    <w:rPr>
      <w:rFonts w:ascii="Times" w:hAnsi="Times" w:cs="Times New Roman"/>
      <w:b/>
      <w:kern w:val="36"/>
      <w:sz w:val="48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DAB"/>
    <w:rPr>
      <w:rFonts w:asciiTheme="majorHAnsi" w:eastAsiaTheme="majorEastAsia" w:hAnsiTheme="majorHAnsi" w:cstheme="majorBidi"/>
      <w:b/>
      <w:bCs/>
      <w:kern w:val="32"/>
      <w:sz w:val="32"/>
      <w:szCs w:val="32"/>
      <w:lang w:val="fr-BE" w:eastAsia="hi-IN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B7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semiHidden/>
    <w:qFormat/>
    <w:rsid w:val="000C153F"/>
    <w:rPr>
      <w:sz w:val="22"/>
      <w:szCs w:val="22"/>
      <w:lang w:val="fr-BE"/>
    </w:rPr>
  </w:style>
  <w:style w:type="character" w:styleId="Strong">
    <w:name w:val="Strong"/>
    <w:basedOn w:val="DefaultParagraphFont"/>
    <w:uiPriority w:val="99"/>
    <w:qFormat/>
    <w:rsid w:val="00C6477B"/>
    <w:rPr>
      <w:rFonts w:cs="Times New Roman"/>
      <w:b/>
    </w:rPr>
  </w:style>
  <w:style w:type="table" w:styleId="TableGrid">
    <w:name w:val="Table Grid"/>
    <w:basedOn w:val="TableNormal"/>
    <w:uiPriority w:val="99"/>
    <w:rsid w:val="00C6477B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738</Words>
  <Characters>4210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 22 f_vrier 2016</dc:title>
  <dc:subject/>
  <dc:creator>bea</dc:creator>
  <cp:keywords/>
  <cp:lastModifiedBy>JC Vander</cp:lastModifiedBy>
  <cp:revision>6</cp:revision>
  <cp:lastPrinted>2016-02-21T14:21:00Z</cp:lastPrinted>
  <dcterms:created xsi:type="dcterms:W3CDTF">2016-02-21T13:03:00Z</dcterms:created>
  <dcterms:modified xsi:type="dcterms:W3CDTF">2016-02-21T14:28:00Z</dcterms:modified>
</cp:coreProperties>
</file>